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F" w:rsidRDefault="00E7298F" w:rsidP="00E7298F">
      <w:bookmarkStart w:id="0" w:name="_GoBack"/>
      <w:bookmarkEnd w:id="0"/>
    </w:p>
    <w:p w:rsidR="00E7298F" w:rsidRDefault="00E7298F" w:rsidP="00E7298F"/>
    <w:p w:rsidR="00E7298F" w:rsidRPr="007D0468" w:rsidRDefault="00E7298F" w:rsidP="00E77B50">
      <w:pPr>
        <w:jc w:val="center"/>
        <w:rPr>
          <w:b/>
          <w:sz w:val="32"/>
          <w:szCs w:val="32"/>
        </w:rPr>
      </w:pPr>
      <w:r w:rsidRPr="007D0468">
        <w:rPr>
          <w:b/>
          <w:sz w:val="32"/>
          <w:szCs w:val="32"/>
        </w:rPr>
        <w:t>L’accès</w:t>
      </w:r>
      <w:r w:rsidR="00E77B50" w:rsidRPr="007D0468">
        <w:rPr>
          <w:b/>
          <w:sz w:val="32"/>
          <w:szCs w:val="32"/>
        </w:rPr>
        <w:t xml:space="preserve"> </w:t>
      </w:r>
      <w:r w:rsidRPr="007D0468">
        <w:rPr>
          <w:b/>
          <w:sz w:val="32"/>
          <w:szCs w:val="32"/>
        </w:rPr>
        <w:t>aux documents et aux services offerts au public</w:t>
      </w:r>
      <w:r w:rsidR="0007508F">
        <w:rPr>
          <w:b/>
          <w:sz w:val="32"/>
          <w:szCs w:val="32"/>
        </w:rPr>
        <w:t xml:space="preserve"> pour les personnes handicapées</w:t>
      </w:r>
    </w:p>
    <w:p w:rsidR="00E7298F" w:rsidRDefault="00E7298F" w:rsidP="00E7298F"/>
    <w:p w:rsidR="00E7298F" w:rsidRDefault="00E77B50" w:rsidP="003771A7">
      <w:pPr>
        <w:jc w:val="both"/>
      </w:pPr>
      <w:r>
        <w:t>En décembre 2006</w:t>
      </w:r>
      <w:r w:rsidR="00E7298F">
        <w:t xml:space="preserve">, le gouvernement </w:t>
      </w:r>
      <w:r w:rsidR="003771A7">
        <w:t>du Québec</w:t>
      </w:r>
      <w:r w:rsidR="00E7298F">
        <w:t xml:space="preserve"> adoptait la politique L'accès aux documents et aux services offerts au public pour les personnes handicapées. </w:t>
      </w:r>
      <w:r>
        <w:t>Cette</w:t>
      </w:r>
      <w:r w:rsidR="00E7298F">
        <w:t xml:space="preserve"> politique, encore méconnue par certains, </w:t>
      </w:r>
      <w:r>
        <w:t>prévoit</w:t>
      </w:r>
      <w:r w:rsidR="00E7298F">
        <w:t xml:space="preserve"> que les documents et les services offerts à </w:t>
      </w:r>
      <w:r>
        <w:t>l’ensemble de la population</w:t>
      </w:r>
      <w:r w:rsidR="00E7298F">
        <w:t xml:space="preserve"> </w:t>
      </w:r>
      <w:r w:rsidR="003771A7">
        <w:t>soient</w:t>
      </w:r>
      <w:r w:rsidR="00E7298F">
        <w:t xml:space="preserve"> adaptés </w:t>
      </w:r>
      <w:r w:rsidR="003771A7">
        <w:t>pour les</w:t>
      </w:r>
      <w:r w:rsidR="00E7298F">
        <w:t xml:space="preserve"> personnes handicapées.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La participation sociale </w:t>
      </w:r>
      <w:r w:rsidR="00E77B50">
        <w:t xml:space="preserve">relève, en partie du moins, des actions que mettent de l’avant les </w:t>
      </w:r>
      <w:r w:rsidR="003771A7">
        <w:t>organisations</w:t>
      </w:r>
      <w:r w:rsidR="00E77B50">
        <w:t xml:space="preserve"> publiques</w:t>
      </w:r>
      <w:r>
        <w:t xml:space="preserve">. </w:t>
      </w:r>
      <w:r w:rsidRPr="003771A7">
        <w:t xml:space="preserve">Parmi </w:t>
      </w:r>
      <w:r w:rsidR="00E77B50">
        <w:t xml:space="preserve">ces actions, le fait </w:t>
      </w:r>
      <w:r w:rsidR="0007508F">
        <w:t>d’assurer l’accès aux</w:t>
      </w:r>
      <w:r>
        <w:t xml:space="preserve"> documents, informations et services offerts au public </w:t>
      </w:r>
      <w:r w:rsidR="0007508F">
        <w:t xml:space="preserve">pour les personnes handicapées </w:t>
      </w:r>
      <w:r>
        <w:t xml:space="preserve">représente un élément fondamental. </w:t>
      </w:r>
      <w:r w:rsidR="00E77B50">
        <w:t>Ainsi,</w:t>
      </w:r>
      <w:r>
        <w:t xml:space="preserve"> la politique gouvernementale L'accès aux documents et aux services offerts au public pour les personnes handicapées </w:t>
      </w:r>
      <w:r w:rsidR="00D66380">
        <w:t xml:space="preserve">(politique sur l’accès) </w:t>
      </w:r>
      <w:r w:rsidR="00E77B50">
        <w:t xml:space="preserve">contribue à </w:t>
      </w:r>
      <w:r w:rsidR="0007508F">
        <w:t>cet accès</w:t>
      </w:r>
      <w:r w:rsidR="00E77B50">
        <w:t>.</w:t>
      </w:r>
      <w:r>
        <w:t xml:space="preserve">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</w:p>
    <w:p w:rsidR="00E7298F" w:rsidRPr="002127F4" w:rsidRDefault="00E7298F" w:rsidP="003771A7">
      <w:pPr>
        <w:jc w:val="both"/>
        <w:rPr>
          <w:b/>
        </w:rPr>
      </w:pPr>
      <w:r w:rsidRPr="002127F4">
        <w:rPr>
          <w:b/>
        </w:rPr>
        <w:t>L’adoption de la politique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>L’adoption</w:t>
      </w:r>
      <w:r w:rsidR="00D66380">
        <w:t xml:space="preserve"> </w:t>
      </w:r>
      <w:r>
        <w:t xml:space="preserve">de la politique </w:t>
      </w:r>
      <w:r w:rsidR="00D66380">
        <w:t>sur l’accès</w:t>
      </w:r>
      <w:r>
        <w:t xml:space="preserve"> découle d’une obligation </w:t>
      </w:r>
      <w:r w:rsidR="00D66380">
        <w:t>comprise dans la</w:t>
      </w:r>
      <w:r>
        <w:t xml:space="preserve"> Loi assurant l’exercice des droits des personnes handicapées en vue de leur intégration scolaire, professionnelle et sociale</w:t>
      </w:r>
      <w:r w:rsidR="00D66380">
        <w:t>, plus précisément l’article 26.5</w:t>
      </w:r>
      <w:r>
        <w:t xml:space="preserve">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La portée de cette politique est majeure. Tous les ministères et organismes publics </w:t>
      </w:r>
      <w:r w:rsidR="0007508F">
        <w:t xml:space="preserve">du gouvernement du Québec </w:t>
      </w:r>
      <w:r>
        <w:t>sont tenus de l’appliquer, ce qui inclut les 13 centres intégrés de santé et de services sociaux (CISSS), les 9 centres intégrés universitaires de santé et de services sociaux (CIUSSS) ainsi que les 7 établissements non fusionnés</w:t>
      </w:r>
      <w:r w:rsidR="0007508F">
        <w:t xml:space="preserve"> du réseau de la santé et des services sociaux.</w:t>
      </w:r>
      <w:r>
        <w:t xml:space="preserve">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</w:p>
    <w:p w:rsidR="00E7298F" w:rsidRPr="002127F4" w:rsidRDefault="00E7298F" w:rsidP="003771A7">
      <w:pPr>
        <w:jc w:val="both"/>
        <w:rPr>
          <w:b/>
        </w:rPr>
      </w:pPr>
      <w:r w:rsidRPr="002127F4">
        <w:rPr>
          <w:b/>
        </w:rPr>
        <w:t>En quoi consiste la politique?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Le but de la politique est clair : mettre en place toutes les conditions qui permettront aux personnes handicapées d’avoir accès, en toute égalité, aux services et aux documents offerts au public. Sa mise en œuvre est </w:t>
      </w:r>
      <w:r w:rsidR="00E77B50">
        <w:t>axée autour de</w:t>
      </w:r>
      <w:r>
        <w:t xml:space="preserve"> deux grandes orientations : une obligation d’accommodement et une démarche proactive.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</w:p>
    <w:p w:rsidR="00E7298F" w:rsidRPr="002127F4" w:rsidRDefault="00E77B50" w:rsidP="003771A7">
      <w:pPr>
        <w:jc w:val="both"/>
        <w:rPr>
          <w:b/>
        </w:rPr>
      </w:pPr>
      <w:r w:rsidRPr="002127F4">
        <w:rPr>
          <w:b/>
        </w:rPr>
        <w:t>Première orientation : l’o</w:t>
      </w:r>
      <w:r w:rsidR="00E7298F" w:rsidRPr="002127F4">
        <w:rPr>
          <w:b/>
        </w:rPr>
        <w:t>bligation d’accommodement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Cette </w:t>
      </w:r>
      <w:r w:rsidR="00D66380">
        <w:t>orientation</w:t>
      </w:r>
      <w:r>
        <w:t xml:space="preserve"> </w:t>
      </w:r>
      <w:r w:rsidR="00D66380">
        <w:t>stipule que les ministères et organismes doivent</w:t>
      </w:r>
      <w:r>
        <w:t xml:space="preserve"> prendre toutes les mesures nécessaires pour qu’une personne handicapée qui en fait la demande ait accès aux documents et aux services</w:t>
      </w:r>
      <w:r w:rsidR="00D66380">
        <w:t>,</w:t>
      </w:r>
      <w:r>
        <w:t xml:space="preserve"> </w:t>
      </w:r>
      <w:r w:rsidR="00E77B50">
        <w:t xml:space="preserve">notamment à l’aide de </w:t>
      </w:r>
      <w:r>
        <w:t>moyen</w:t>
      </w:r>
      <w:r w:rsidR="00E77B50">
        <w:t>s</w:t>
      </w:r>
      <w:r>
        <w:t xml:space="preserve"> de communication adapté</w:t>
      </w:r>
      <w:r w:rsidR="00E77B50">
        <w:t>s</w:t>
      </w:r>
      <w:r>
        <w:t xml:space="preserve"> à ses besoins. </w:t>
      </w:r>
    </w:p>
    <w:p w:rsidR="00E7298F" w:rsidRDefault="00E7298F" w:rsidP="003771A7">
      <w:pPr>
        <w:jc w:val="both"/>
      </w:pPr>
    </w:p>
    <w:p w:rsidR="00E7298F" w:rsidRPr="002127F4" w:rsidRDefault="00E77B50" w:rsidP="003771A7">
      <w:pPr>
        <w:jc w:val="both"/>
        <w:rPr>
          <w:b/>
        </w:rPr>
      </w:pPr>
      <w:r w:rsidRPr="002127F4">
        <w:rPr>
          <w:b/>
        </w:rPr>
        <w:t>Seconde orientation : une d</w:t>
      </w:r>
      <w:r w:rsidR="00E7298F" w:rsidRPr="002127F4">
        <w:rPr>
          <w:b/>
        </w:rPr>
        <w:t>émarche proactive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Cette orientation vise à ce que les ministères et les organismes publics </w:t>
      </w:r>
      <w:r w:rsidR="00DB0459">
        <w:t>prévoient et mettent en branle des actions</w:t>
      </w:r>
      <w:r>
        <w:t xml:space="preserve"> afin de constamment améliorer leur réponse aux be</w:t>
      </w:r>
      <w:r w:rsidR="00DB0459">
        <w:t xml:space="preserve">soins des personnes handicapées. </w:t>
      </w:r>
      <w:r>
        <w:t xml:space="preserve"> </w:t>
      </w:r>
      <w:r w:rsidR="00DB0459">
        <w:t>Cela peut être</w:t>
      </w:r>
      <w:r>
        <w:t xml:space="preserve"> </w:t>
      </w:r>
      <w:r w:rsidR="00DB0459">
        <w:t xml:space="preserve">de rendre disponibles </w:t>
      </w:r>
      <w:r>
        <w:t xml:space="preserve">en formats adaptés les documents les plus fréquemment demandés par la population et </w:t>
      </w:r>
      <w:r w:rsidR="00D66380">
        <w:t>d’assurer</w:t>
      </w:r>
      <w:r>
        <w:t xml:space="preserve"> un service de qualité grâce à des moyens de communication adaptés.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Cette approche a l’avantage de diminuer les délais d’attente pour obtenir un document ou un service, en plus d’éviter des coûts supplémentaires souvent entraînés par l’obligation d’apporter des correctifs a posteriori.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</w:p>
    <w:p w:rsidR="00E7298F" w:rsidRPr="002127F4" w:rsidRDefault="00DB0459" w:rsidP="003771A7">
      <w:pPr>
        <w:jc w:val="both"/>
        <w:rPr>
          <w:b/>
        </w:rPr>
      </w:pPr>
      <w:r w:rsidRPr="002127F4">
        <w:rPr>
          <w:b/>
        </w:rPr>
        <w:t>S</w:t>
      </w:r>
      <w:r w:rsidR="00E7298F" w:rsidRPr="002127F4">
        <w:rPr>
          <w:b/>
        </w:rPr>
        <w:t>i vous êtes une personne handicapée</w:t>
      </w:r>
      <w:r w:rsidR="00FD03EC" w:rsidRPr="002127F4">
        <w:rPr>
          <w:b/>
        </w:rPr>
        <w:t>…</w:t>
      </w:r>
    </w:p>
    <w:p w:rsidR="00E7298F" w:rsidRDefault="00E7298F" w:rsidP="003771A7">
      <w:pPr>
        <w:jc w:val="both"/>
      </w:pPr>
    </w:p>
    <w:p w:rsidR="00E7298F" w:rsidRDefault="00D66380" w:rsidP="003771A7">
      <w:pPr>
        <w:jc w:val="both"/>
      </w:pPr>
      <w:r>
        <w:t>V</w:t>
      </w:r>
      <w:r w:rsidR="00E7298F">
        <w:t>ous pouvez demander</w:t>
      </w:r>
      <w:r w:rsidR="00FD03EC">
        <w:t xml:space="preserve"> </w:t>
      </w:r>
      <w:r w:rsidR="00E7298F">
        <w:t xml:space="preserve">qu’un document ou un service offert au public soit adapté selon vos besoins et </w:t>
      </w:r>
      <w:r w:rsidR="00FD03EC">
        <w:t>vos incapacités.</w:t>
      </w:r>
      <w:r w:rsidR="00E7298F">
        <w:t xml:space="preserve"> </w:t>
      </w:r>
      <w:r w:rsidR="00FD03EC">
        <w:t xml:space="preserve">Ceci </w:t>
      </w:r>
      <w:r w:rsidR="00E7298F">
        <w:t xml:space="preserve">afin que vous puissiez en bénéficier comme tout autre citoyen.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Le ministère ou l’organisme public à qui vous faites </w:t>
      </w:r>
      <w:r w:rsidR="00FD03EC">
        <w:t>votre</w:t>
      </w:r>
      <w:r>
        <w:t xml:space="preserve"> demande </w:t>
      </w:r>
      <w:r w:rsidR="00FD03EC">
        <w:t>a donc</w:t>
      </w:r>
      <w:r>
        <w:t xml:space="preserve"> l’obligation de vous accommoder, à moins </w:t>
      </w:r>
      <w:r w:rsidR="00FD03EC">
        <w:t xml:space="preserve">qu’il démontre que cela entraîne </w:t>
      </w:r>
      <w:r>
        <w:t>de</w:t>
      </w:r>
      <w:r w:rsidR="00FD03EC">
        <w:t>s</w:t>
      </w:r>
      <w:r>
        <w:t xml:space="preserve"> c</w:t>
      </w:r>
      <w:r w:rsidR="00FD03EC">
        <w:t>ontraintes excessives</w:t>
      </w:r>
      <w:r>
        <w:t xml:space="preserve">. Cette obligation s’accompagne de deux principes, à savoir :   </w:t>
      </w:r>
    </w:p>
    <w:p w:rsidR="00E7298F" w:rsidRDefault="00E7298F" w:rsidP="003771A7">
      <w:pPr>
        <w:pStyle w:val="Paragraphedeliste"/>
        <w:numPr>
          <w:ilvl w:val="0"/>
          <w:numId w:val="1"/>
        </w:numPr>
        <w:jc w:val="both"/>
      </w:pPr>
      <w:r>
        <w:t>le ministère ou l’organisme public doit prendre les mesures requises pour vous assurer un service de qualité, en utilisant des moyens de communication adaptés qui permettent de répondre adéquatement à vos besoins;</w:t>
      </w:r>
    </w:p>
    <w:p w:rsidR="00E7298F" w:rsidRDefault="00FD03EC" w:rsidP="003771A7">
      <w:pPr>
        <w:pStyle w:val="Paragraphedeliste"/>
        <w:numPr>
          <w:ilvl w:val="0"/>
          <w:numId w:val="1"/>
        </w:numPr>
        <w:jc w:val="both"/>
      </w:pPr>
      <w:r w:rsidRPr="00FD03EC">
        <w:t xml:space="preserve">le ministère ou l’organisme public </w:t>
      </w:r>
      <w:r w:rsidR="00E7298F">
        <w:t>ne peut, en aucun cas, exiger de votre part des frais supplémentaires associés à l’adaptation d’un document ou d’un service offert au public.</w:t>
      </w:r>
    </w:p>
    <w:p w:rsidR="00E7298F" w:rsidRDefault="00E7298F" w:rsidP="003771A7">
      <w:pPr>
        <w:jc w:val="both"/>
      </w:pPr>
    </w:p>
    <w:p w:rsidR="00E7298F" w:rsidRPr="002127F4" w:rsidRDefault="00FD03EC" w:rsidP="003771A7">
      <w:pPr>
        <w:jc w:val="both"/>
        <w:rPr>
          <w:b/>
        </w:rPr>
      </w:pPr>
      <w:r w:rsidRPr="002127F4">
        <w:rPr>
          <w:b/>
        </w:rPr>
        <w:t>Pour</w:t>
      </w:r>
      <w:r w:rsidR="00E7298F" w:rsidRPr="002127F4">
        <w:rPr>
          <w:b/>
        </w:rPr>
        <w:t xml:space="preserve"> une demande d’accès à un document offert au public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>Lorsque vous faites une demande d’accès à un document offert au public, le ministère ou l’organisme public concerné doit vous le fou</w:t>
      </w:r>
      <w:r w:rsidR="00FD03EC">
        <w:t>rnir en format adapté (</w:t>
      </w:r>
      <w:r>
        <w:t>format audio, en braille, en document vidéo en langue des signes québécoise (LSQ), en communication écrite simplifiée, etc</w:t>
      </w:r>
      <w:r w:rsidR="002127F4">
        <w:t>)</w:t>
      </w:r>
      <w:r>
        <w:t>. Il doit respecter, dans la mesure du possib</w:t>
      </w:r>
      <w:r w:rsidR="00D66380">
        <w:t>le, votre choix</w:t>
      </w:r>
      <w:r>
        <w:t xml:space="preserve">. Sinon, il doit vous offrir un autre format accessible que vous pouvez utiliser. Dans cette éventualité, vous devez convenir ensemble d’une solution adaptée. </w:t>
      </w:r>
    </w:p>
    <w:p w:rsidR="00E7298F" w:rsidRDefault="00E7298F" w:rsidP="003771A7">
      <w:pPr>
        <w:jc w:val="both"/>
      </w:pPr>
    </w:p>
    <w:p w:rsidR="0007508F" w:rsidRDefault="0007508F" w:rsidP="003771A7">
      <w:pPr>
        <w:jc w:val="both"/>
      </w:pPr>
    </w:p>
    <w:p w:rsidR="00E7298F" w:rsidRPr="002127F4" w:rsidRDefault="002127F4" w:rsidP="003771A7">
      <w:pPr>
        <w:jc w:val="both"/>
        <w:rPr>
          <w:b/>
        </w:rPr>
      </w:pPr>
      <w:r w:rsidRPr="002127F4">
        <w:rPr>
          <w:b/>
        </w:rPr>
        <w:t>Pour</w:t>
      </w:r>
      <w:r w:rsidR="00E7298F" w:rsidRPr="002127F4">
        <w:rPr>
          <w:b/>
        </w:rPr>
        <w:t xml:space="preserve"> une demande d’accès à un service offert au public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lastRenderedPageBreak/>
        <w:t>À votre demande, un ministère ou un organisme public est dans l’obligation de vous offrir un service d’assistance p</w:t>
      </w:r>
      <w:r w:rsidR="002127F4">
        <w:t>our vous permettre d’accomplir l</w:t>
      </w:r>
      <w:r>
        <w:t>es démarches administratives nécessaires à l</w:t>
      </w:r>
      <w:r w:rsidR="002127F4">
        <w:t>a prestation d’un service</w:t>
      </w:r>
      <w:r>
        <w:t>. Il peut s’agir</w:t>
      </w:r>
      <w:r w:rsidR="002127F4">
        <w:t>,</w:t>
      </w:r>
      <w:r>
        <w:t xml:space="preserve"> par exemple</w:t>
      </w:r>
      <w:r w:rsidR="002127F4">
        <w:t>,</w:t>
      </w:r>
      <w:r>
        <w:t xml:space="preserve"> d’aide pour remplir un formulaire ou un questionnaire administratif.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De plus, les locaux où sont offerts les services </w:t>
      </w:r>
      <w:r w:rsidR="002127F4">
        <w:t>publics</w:t>
      </w:r>
      <w:r>
        <w:t xml:space="preserve"> doivent être physiquement accessibles. S’ils ne le sont pas, des moyens alternatifs doivent, en toute égalité, être mis en place dans le respect de votre dignité.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Finalement, pour les personnes ayant une incapacité auditive, lorsqu’un ministère ou un organisme public offre des services directement à la population ou qu’il s'avère le principal responsable d’une activité, </w:t>
      </w:r>
      <w:r w:rsidR="002127F4">
        <w:t>c’est</w:t>
      </w:r>
      <w:r>
        <w:t xml:space="preserve"> à lui de vous assurer l’assistance d’interprètes qualifiés, lorsque requis</w:t>
      </w:r>
      <w:r w:rsidR="00D66380">
        <w:t>, et d’en défrayer les coûts</w:t>
      </w:r>
      <w:r>
        <w:t xml:space="preserve">. Il pourrait s’agir d’interprètes gestuels, oralistes ou autres. Vous devez </w:t>
      </w:r>
      <w:r w:rsidR="002127F4">
        <w:t xml:space="preserve">toutefois </w:t>
      </w:r>
      <w:r>
        <w:t xml:space="preserve">en faire la demande à l’avance. </w:t>
      </w:r>
    </w:p>
    <w:p w:rsidR="00E7298F" w:rsidRDefault="00E7298F" w:rsidP="003771A7">
      <w:pPr>
        <w:jc w:val="both"/>
      </w:pPr>
    </w:p>
    <w:p w:rsidR="00E7298F" w:rsidRPr="002127F4" w:rsidRDefault="002127F4" w:rsidP="003771A7">
      <w:pPr>
        <w:jc w:val="both"/>
        <w:rPr>
          <w:b/>
        </w:rPr>
      </w:pPr>
      <w:r w:rsidRPr="002127F4">
        <w:rPr>
          <w:b/>
        </w:rPr>
        <w:t>Pour</w:t>
      </w:r>
      <w:r w:rsidR="00E7298F" w:rsidRPr="002127F4">
        <w:rPr>
          <w:b/>
        </w:rPr>
        <w:t xml:space="preserve"> communiquer avec le personnel d’un ministère ou d’un organisme public </w:t>
      </w:r>
      <w:r w:rsidRPr="002127F4">
        <w:rPr>
          <w:b/>
        </w:rPr>
        <w:t>afin d’avoir</w:t>
      </w:r>
      <w:r w:rsidR="00E7298F" w:rsidRPr="002127F4">
        <w:rPr>
          <w:b/>
        </w:rPr>
        <w:t xml:space="preserve"> accès à une information ou à un service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Vous pouvez demander </w:t>
      </w:r>
      <w:r w:rsidR="002127F4">
        <w:t xml:space="preserve">l’accès à </w:t>
      </w:r>
      <w:r>
        <w:t>un moyen de communication adapté</w:t>
      </w:r>
      <w:r w:rsidR="002127F4">
        <w:t>, et ce, pour les</w:t>
      </w:r>
      <w:r>
        <w:t xml:space="preserve"> trois modes de communication auxquels le public a généralement recours, soit </w:t>
      </w:r>
      <w:r w:rsidR="002127F4">
        <w:t>le contact direct, le téléphone</w:t>
      </w:r>
      <w:r>
        <w:t xml:space="preserve"> et les communications électroniques. 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>Par exemple, pour les conversations téléphoniques, vous pourriez demander qu</w:t>
      </w:r>
      <w:r w:rsidR="0007508F">
        <w:t>e le</w:t>
      </w:r>
      <w:r>
        <w:t xml:space="preserve"> </w:t>
      </w:r>
      <w:r w:rsidR="0007508F">
        <w:t xml:space="preserve">service de relais de votre fournisseur </w:t>
      </w:r>
      <w:r>
        <w:t xml:space="preserve">soit utilisé. Pour les communications de personne à personne, vous pourriez demander l’assistance d’un interprète qualifié. </w:t>
      </w:r>
    </w:p>
    <w:p w:rsidR="00E7298F" w:rsidRDefault="00E7298F" w:rsidP="003771A7">
      <w:pPr>
        <w:jc w:val="both"/>
      </w:pPr>
    </w:p>
    <w:p w:rsidR="00E7298F" w:rsidRPr="002127F4" w:rsidRDefault="00E7298F" w:rsidP="003771A7">
      <w:pPr>
        <w:jc w:val="both"/>
        <w:rPr>
          <w:b/>
        </w:rPr>
      </w:pPr>
      <w:r w:rsidRPr="002127F4">
        <w:rPr>
          <w:b/>
        </w:rPr>
        <w:t>Vous avez des recours</w:t>
      </w:r>
    </w:p>
    <w:p w:rsidR="00E7298F" w:rsidRDefault="00E7298F" w:rsidP="003771A7">
      <w:pPr>
        <w:jc w:val="both"/>
      </w:pPr>
    </w:p>
    <w:p w:rsidR="00E7298F" w:rsidRDefault="00E7298F" w:rsidP="003771A7">
      <w:pPr>
        <w:jc w:val="both"/>
      </w:pPr>
      <w:r>
        <w:t xml:space="preserve">Sachez aussi que la politique </w:t>
      </w:r>
      <w:r w:rsidR="002127F4">
        <w:t xml:space="preserve">sur l’accès aux documents et aux services </w:t>
      </w:r>
      <w:r>
        <w:t>prévoit des recours en cas d’insatisfaction. Vous pouvez d’abord porter plainte auprès du ministère ou de l’organisme concerné</w:t>
      </w:r>
      <w:r w:rsidR="006A44E9">
        <w:t xml:space="preserve">. Si votre insatisfaction persiste, vous pouvez dans un deuxième temps </w:t>
      </w:r>
      <w:r>
        <w:t>vous adresser au Protecteur du citoyen ou à la Commission des droits de la personne et des droits de la jeunesse</w:t>
      </w:r>
      <w:r w:rsidR="006A44E9">
        <w:t xml:space="preserve"> (CDPDJ)</w:t>
      </w:r>
      <w:r>
        <w:t xml:space="preserve">. </w:t>
      </w:r>
    </w:p>
    <w:p w:rsidR="00E7298F" w:rsidRDefault="00E7298F" w:rsidP="00E7298F"/>
    <w:p w:rsidR="00E7298F" w:rsidRDefault="00E7298F" w:rsidP="00E7298F"/>
    <w:sectPr w:rsidR="00E72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4D" w:rsidRDefault="00594A4D" w:rsidP="00E7298F">
      <w:r>
        <w:separator/>
      </w:r>
    </w:p>
  </w:endnote>
  <w:endnote w:type="continuationSeparator" w:id="0">
    <w:p w:rsidR="00594A4D" w:rsidRDefault="00594A4D" w:rsidP="00E7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8F" w:rsidRDefault="00E729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18254"/>
      <w:docPartObj>
        <w:docPartGallery w:val="Page Numbers (Bottom of Page)"/>
        <w:docPartUnique/>
      </w:docPartObj>
    </w:sdtPr>
    <w:sdtEndPr/>
    <w:sdtContent>
      <w:p w:rsidR="00E7298F" w:rsidRDefault="00E7298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FF" w:rsidRPr="00044AFF">
          <w:rPr>
            <w:noProof/>
            <w:lang w:val="fr-FR"/>
          </w:rPr>
          <w:t>1</w:t>
        </w:r>
        <w:r>
          <w:fldChar w:fldCharType="end"/>
        </w:r>
      </w:p>
    </w:sdtContent>
  </w:sdt>
  <w:p w:rsidR="00E7298F" w:rsidRDefault="00E729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8F" w:rsidRDefault="00E72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4D" w:rsidRDefault="00594A4D" w:rsidP="00E7298F">
      <w:r>
        <w:separator/>
      </w:r>
    </w:p>
  </w:footnote>
  <w:footnote w:type="continuationSeparator" w:id="0">
    <w:p w:rsidR="00594A4D" w:rsidRDefault="00594A4D" w:rsidP="00E7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8F" w:rsidRDefault="00E729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8F" w:rsidRDefault="00E729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8F" w:rsidRDefault="00E729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2D31"/>
    <w:multiLevelType w:val="hybridMultilevel"/>
    <w:tmpl w:val="F9E2F5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F"/>
    <w:rsid w:val="00044AFF"/>
    <w:rsid w:val="0007508F"/>
    <w:rsid w:val="00166778"/>
    <w:rsid w:val="002127F4"/>
    <w:rsid w:val="00232988"/>
    <w:rsid w:val="00266A84"/>
    <w:rsid w:val="002B2E51"/>
    <w:rsid w:val="003528D8"/>
    <w:rsid w:val="003771A7"/>
    <w:rsid w:val="00491C03"/>
    <w:rsid w:val="00594A4D"/>
    <w:rsid w:val="006A44E9"/>
    <w:rsid w:val="007D0468"/>
    <w:rsid w:val="007F4E5A"/>
    <w:rsid w:val="00853564"/>
    <w:rsid w:val="008E22E0"/>
    <w:rsid w:val="00B759D4"/>
    <w:rsid w:val="00BD6049"/>
    <w:rsid w:val="00C16E53"/>
    <w:rsid w:val="00D66380"/>
    <w:rsid w:val="00DB0459"/>
    <w:rsid w:val="00E7298F"/>
    <w:rsid w:val="00E77B50"/>
    <w:rsid w:val="00EB4B94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34E6-D01C-4A9F-9F0E-E6ECCFA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9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298F"/>
  </w:style>
  <w:style w:type="paragraph" w:styleId="Pieddepage">
    <w:name w:val="footer"/>
    <w:basedOn w:val="Normal"/>
    <w:link w:val="PieddepageCar"/>
    <w:uiPriority w:val="99"/>
    <w:unhideWhenUsed/>
    <w:rsid w:val="00E729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98F"/>
  </w:style>
  <w:style w:type="paragraph" w:styleId="Paragraphedeliste">
    <w:name w:val="List Paragraph"/>
    <w:basedOn w:val="Normal"/>
    <w:uiPriority w:val="34"/>
    <w:qFormat/>
    <w:rsid w:val="00FD03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50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0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0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0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0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llagace</dc:creator>
  <cp:lastModifiedBy>AQRIPH</cp:lastModifiedBy>
  <cp:revision>2</cp:revision>
  <dcterms:created xsi:type="dcterms:W3CDTF">2017-09-14T13:20:00Z</dcterms:created>
  <dcterms:modified xsi:type="dcterms:W3CDTF">2017-09-14T13:20:00Z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docu">
    <vt:lpwstr>http://ref.irosoft.com/proprietes/docutheque#</vt:lpwstr>
  </property>
  <property fmtid="{D5CDD505-2E9C-101B-9397-08002B2CF9AE}" pid="4" name="ns.entrep">
    <vt:lpwstr>http://ref.irosoft.com/proprietes/entrep#</vt:lpwstr>
  </property>
  <property fmtid="{D5CDD505-2E9C-101B-9397-08002B2CF9AE}" pid="5" name="ns.mso">
    <vt:lpwstr>http://ref.irosoft.com/proprietes_systeme/ms_office#</vt:lpwstr>
  </property>
  <property fmtid="{D5CDD505-2E9C-101B-9397-08002B2CF9AE}" pid="6" name="ns.ophq">
    <vt:lpwstr>http://ref.irosoft.com/proprietes/ophq#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ophq.intervention_de_la_presidence--i1">
    <vt:bool>false</vt:bool>
  </property>
  <property fmtid="{D5CDD505-2E9C-101B-9397-08002B2CF9AE}" pid="10" name="sys.guid">
    <vt:lpwstr>ce638666-18ed-4caf-8f21-27ca4c924e47</vt:lpwstr>
  </property>
  <property fmtid="{D5CDD505-2E9C-101B-9397-08002B2CF9AE}" pid="11" name="sys.type">
    <vt:lpwstr>http://ref.irosoft.com/profil_metadonnees/document</vt:lpwstr>
  </property>
  <property fmtid="{D5CDD505-2E9C-101B-9397-08002B2CF9AE}" pid="12" name="sys.version_bougi">
    <vt:lpwstr>4.2.2.2</vt:lpwstr>
  </property>
  <property fmtid="{D5CDD505-2E9C-101B-9397-08002B2CF9AE}" pid="13" name="_MarkAsFinal">
    <vt:bool>false</vt:bool>
  </property>
  <property fmtid="{D5CDD505-2E9C-101B-9397-08002B2CF9AE}" pid="14" name="docu.final--i1">
    <vt:bool>false</vt:bool>
  </property>
  <property fmtid="{D5CDD505-2E9C-101B-9397-08002B2CF9AE}" pid="15" name="docu.titre--i1">
    <vt:lpwstr>Article explicatif politique sur l'accès.docx</vt:lpwstr>
  </property>
</Properties>
</file>